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3F194" w14:textId="765E3E8A" w:rsidR="005A4E48" w:rsidRPr="00923F3E" w:rsidRDefault="005D1AB7" w:rsidP="005A4E48">
      <w:pPr>
        <w:jc w:val="both"/>
        <w:rPr>
          <w:b/>
          <w:bCs/>
          <w:sz w:val="26"/>
          <w:szCs w:val="26"/>
        </w:rPr>
      </w:pPr>
      <w:r>
        <w:rPr>
          <w:b/>
          <w:bCs/>
          <w:sz w:val="26"/>
          <w:szCs w:val="26"/>
        </w:rPr>
        <w:t>Jurisprudência</w:t>
      </w:r>
    </w:p>
    <w:p w14:paraId="12CE1105" w14:textId="27DE7A8D" w:rsidR="00923F3E" w:rsidRDefault="00923F3E" w:rsidP="005A4E48">
      <w:pPr>
        <w:jc w:val="both"/>
      </w:pPr>
      <w:r>
        <w:t>Utilizando-se a definição proposta pelo Tribunal de Justiça do Distrito Federal e Territórios (TJDFT), tem-se que a “</w:t>
      </w:r>
      <w:r w:rsidRPr="00923F3E">
        <w:t>prática denominada venda casada consiste em atrelar o fornecimento de um produto ou serviço a outro, que usualmente é vendido separado, de forma a compelir o consumidor a aceitá-los em razão de sua necessidade ou vulnerabilidade</w:t>
      </w:r>
      <w:r>
        <w:t>”. Tal prática é vedada pelo Código de Defesa do Consumidor, sobretudo em seu art. 39, inciso IU.</w:t>
      </w:r>
    </w:p>
    <w:p w14:paraId="45708E07" w14:textId="49CD55CA" w:rsidR="001964E7" w:rsidRDefault="00924728" w:rsidP="003E0C77">
      <w:pPr>
        <w:jc w:val="both"/>
      </w:pPr>
      <w:r>
        <w:t>Entretanto, para que se configure a venda casada, é necessário que</w:t>
      </w:r>
      <w:r w:rsidR="00484162">
        <w:t xml:space="preserve"> a respectiva operação, de compra ou venda condicionada a outra, não seja benéfica para o consumidor.</w:t>
      </w:r>
      <w:r w:rsidR="000E5A87">
        <w:t xml:space="preserve"> Caso contrário, sequer ocorreria lesão ao comprador ou contratante. </w:t>
      </w:r>
      <w:r w:rsidR="00155EA9">
        <w:t xml:space="preserve">Nesse mesmo sentido posicionou-se o </w:t>
      </w:r>
      <w:r w:rsidR="003374BE">
        <w:t>TJDFT</w:t>
      </w:r>
      <w:r w:rsidR="00F87215">
        <w:t xml:space="preserve"> no</w:t>
      </w:r>
      <w:r w:rsidR="003E0C77">
        <w:t xml:space="preserve"> Acórdão Nº </w:t>
      </w:r>
      <w:r w:rsidR="003E0C77" w:rsidRPr="003E0C77">
        <w:t>1218922</w:t>
      </w:r>
      <w:r w:rsidR="003E0C77">
        <w:t xml:space="preserve">, da Primeira Turma Recursal </w:t>
      </w:r>
      <w:r w:rsidR="00514A35">
        <w:t>dos</w:t>
      </w:r>
      <w:r w:rsidR="003E0C77">
        <w:t xml:space="preserve"> </w:t>
      </w:r>
      <w:r w:rsidR="00514A35">
        <w:t>Juizados Especiais do Distrito Federal</w:t>
      </w:r>
      <w:r w:rsidR="003E0C77">
        <w:t xml:space="preserve">, referente a </w:t>
      </w:r>
      <w:r w:rsidR="00514A35" w:rsidRPr="00E52CCB">
        <w:t>Recurso Inominado</w:t>
      </w:r>
      <w:r w:rsidR="00F87215" w:rsidRPr="00F87215">
        <w:t xml:space="preserve"> </w:t>
      </w:r>
      <w:r w:rsidR="00514A35" w:rsidRPr="00F87215">
        <w:t xml:space="preserve">Cível </w:t>
      </w:r>
      <w:r w:rsidR="00F87215" w:rsidRPr="00F87215">
        <w:t>0727045-54.2019.8.07.0016</w:t>
      </w:r>
      <w:r w:rsidR="003E0C77">
        <w:t>:</w:t>
      </w:r>
    </w:p>
    <w:p w14:paraId="79F8B72C" w14:textId="49FC0E0B" w:rsidR="003E0C77" w:rsidRDefault="00434FCF" w:rsidP="00434FCF">
      <w:pPr>
        <w:ind w:left="708"/>
        <w:jc w:val="both"/>
      </w:pPr>
      <w:r>
        <w:t>“</w:t>
      </w:r>
      <w:r w:rsidRPr="00434FCF">
        <w:rPr>
          <w:i/>
          <w:iCs/>
        </w:rPr>
        <w:t xml:space="preserve">Para que se configure a prática abusiva prevista no art. 39, I, do CDC, é necessário comprovar que o fornecedor condicionou a aquisição de um produto ou serviço à compra do outro, </w:t>
      </w:r>
      <w:r w:rsidRPr="00434FCF">
        <w:rPr>
          <w:b/>
          <w:bCs/>
          <w:i/>
          <w:iCs/>
        </w:rPr>
        <w:t>ou que não haja efetivo benefício para o consumidor</w:t>
      </w:r>
      <w:r w:rsidRPr="00434FCF">
        <w:rPr>
          <w:i/>
          <w:iCs/>
        </w:rPr>
        <w:t>.</w:t>
      </w:r>
      <w:r>
        <w:t>” [grifo não constante no original]</w:t>
      </w:r>
    </w:p>
    <w:p w14:paraId="601BF67F" w14:textId="0ABEF832" w:rsidR="003E0C77" w:rsidRDefault="00CF4498" w:rsidP="003E0C77">
      <w:pPr>
        <w:jc w:val="both"/>
      </w:pPr>
      <w:r>
        <w:t xml:space="preserve">Também nesse sentido </w:t>
      </w:r>
      <w:r w:rsidR="00DB7CE3">
        <w:t>prevê a Lei</w:t>
      </w:r>
      <w:r w:rsidR="00C907A8">
        <w:t xml:space="preserve"> 10.820 de 17 de dezembro de 2003</w:t>
      </w:r>
      <w:r w:rsidR="00DB7CE3">
        <w:t>:</w:t>
      </w:r>
    </w:p>
    <w:p w14:paraId="138A02DF" w14:textId="644BE1EA" w:rsidR="00DB7CE3" w:rsidRPr="00F851E9" w:rsidRDefault="00DB7CE3" w:rsidP="00DB7CE3">
      <w:pPr>
        <w:ind w:left="708"/>
        <w:jc w:val="both"/>
        <w:rPr>
          <w:i/>
          <w:iCs/>
        </w:rPr>
      </w:pPr>
      <w:r w:rsidRPr="00F851E9">
        <w:rPr>
          <w:i/>
          <w:iCs/>
        </w:rPr>
        <w:t>Art. 4º A concessão de empréstimo, financiamento, cartão de crédito ou arrendamento mercantil será feita a critério da instituição consignatária, sendo os valores e as demais condições objeto de livre negociação entre ela e o mutuário, observadas as demais disposições desta Lei e seu regulamento.</w:t>
      </w:r>
    </w:p>
    <w:p w14:paraId="3F439C00" w14:textId="1FDB3F2D" w:rsidR="00DB7CE3" w:rsidRDefault="00DB7CE3" w:rsidP="00DB7CE3">
      <w:pPr>
        <w:ind w:left="708"/>
        <w:jc w:val="both"/>
        <w:rPr>
          <w:i/>
          <w:iCs/>
        </w:rPr>
      </w:pPr>
      <w:r w:rsidRPr="00F851E9">
        <w:rPr>
          <w:i/>
          <w:iCs/>
        </w:rPr>
        <w:t>§ 2</w:t>
      </w:r>
      <w:r w:rsidR="00560466" w:rsidRPr="00F851E9">
        <w:rPr>
          <w:i/>
          <w:iCs/>
        </w:rPr>
        <w:t>º</w:t>
      </w:r>
      <w:r w:rsidRPr="00F851E9">
        <w:rPr>
          <w:i/>
          <w:iCs/>
        </w:rPr>
        <w:t xml:space="preserve"> Poderão as entidades e centrais sindicais, sem ônus para os empregados, firmar, com instituições consignatárias, acordo que defina condições gerais e demais critérios a serem observados nas operações de empréstimo, financiamento, cartão de crédito ou arrendamento mercantil que venham a ser realizadas com seus representados.</w:t>
      </w:r>
    </w:p>
    <w:p w14:paraId="359E74D8" w14:textId="6BBB3B78" w:rsidR="00F851E9" w:rsidRDefault="00C907A8" w:rsidP="00F851E9">
      <w:pPr>
        <w:jc w:val="both"/>
      </w:pPr>
      <w:r>
        <w:t>Percebe-se, da leitura d</w:t>
      </w:r>
      <w:r w:rsidR="002A358C">
        <w:t>o Art. 4º da</w:t>
      </w:r>
      <w:r>
        <w:t xml:space="preserve"> Lei 10.820/2023, que </w:t>
      </w:r>
      <w:r w:rsidR="002A358C">
        <w:t xml:space="preserve">as condições </w:t>
      </w:r>
      <w:r w:rsidR="00406CD5">
        <w:t>de contratação de empréstimo ser</w:t>
      </w:r>
      <w:r w:rsidR="00AF2EA8">
        <w:t>ão</w:t>
      </w:r>
      <w:r w:rsidR="00406CD5">
        <w:t xml:space="preserve"> de livre negociação entre a instituição financeira e </w:t>
      </w:r>
      <w:r w:rsidR="002E2684">
        <w:t>o contratante. Contudo, o parágrafo 2º do mesmo artigo prevê que as entidades associativas podem</w:t>
      </w:r>
      <w:r w:rsidR="00441102">
        <w:t xml:space="preserve"> firmar acordo com as instituições financeiras</w:t>
      </w:r>
      <w:r w:rsidR="000346E8">
        <w:t xml:space="preserve"> para definir condições e critérios diferentes</w:t>
      </w:r>
      <w:r w:rsidR="00D44646">
        <w:t xml:space="preserve"> para seus associados.</w:t>
      </w:r>
      <w:r w:rsidR="00312CCE">
        <w:t xml:space="preserve"> Tais condições</w:t>
      </w:r>
      <w:r w:rsidR="00377529">
        <w:t xml:space="preserve"> e critérios</w:t>
      </w:r>
      <w:r w:rsidR="00312CCE">
        <w:t xml:space="preserve"> diferenciad</w:t>
      </w:r>
      <w:r w:rsidR="00377529">
        <w:t>o</w:t>
      </w:r>
      <w:r w:rsidR="00312CCE">
        <w:t xml:space="preserve">s para os associados, espera-se, </w:t>
      </w:r>
      <w:r w:rsidR="00377529">
        <w:t xml:space="preserve">seriam mais benéficos do que as condições e os critérios que seriam obtidos caso o associado busca-se o serviço sem o </w:t>
      </w:r>
      <w:r w:rsidR="00214F6B">
        <w:t>suporte da entidade associativa. Deste mecanismo</w:t>
      </w:r>
      <w:r w:rsidR="00B60862">
        <w:t xml:space="preserve"> </w:t>
      </w:r>
      <w:r w:rsidR="00E44C9C">
        <w:t xml:space="preserve">se </w:t>
      </w:r>
      <w:r w:rsidR="00B60862">
        <w:t xml:space="preserve">extrai a interpretação da jurisprudência supramencionada </w:t>
      </w:r>
      <w:r w:rsidR="00027711">
        <w:t xml:space="preserve">do TJDFT, de que se configura </w:t>
      </w:r>
      <w:r w:rsidR="00E043ED">
        <w:t>a venda casada no condiciona</w:t>
      </w:r>
      <w:r w:rsidR="00E44C9C">
        <w:t>mento</w:t>
      </w:r>
      <w:r w:rsidR="00E043ED">
        <w:t xml:space="preserve"> de uma venda a outra quando não há benefício para o consumidor</w:t>
      </w:r>
      <w:r w:rsidR="00E44C9C">
        <w:t>.</w:t>
      </w:r>
    </w:p>
    <w:p w14:paraId="77A56A1C" w14:textId="19183703" w:rsidR="00E44C9C" w:rsidRDefault="003E3162" w:rsidP="00F851E9">
      <w:pPr>
        <w:jc w:val="both"/>
      </w:pPr>
      <w:r>
        <w:t xml:space="preserve">O mesmo entendimento foi adotado </w:t>
      </w:r>
      <w:r w:rsidR="00765330">
        <w:t>no TJ</w:t>
      </w:r>
      <w:r w:rsidR="00B87F7D">
        <w:t xml:space="preserve">RS </w:t>
      </w:r>
      <w:r w:rsidR="00F01738">
        <w:t>pela</w:t>
      </w:r>
      <w:r w:rsidR="00E52CCB" w:rsidRPr="00E52CCB">
        <w:t xml:space="preserve"> </w:t>
      </w:r>
      <w:r w:rsidR="000F0A84">
        <w:t>Terceira</w:t>
      </w:r>
      <w:r w:rsidR="00E52CCB" w:rsidRPr="00E52CCB">
        <w:t xml:space="preserve"> Turma Recursal </w:t>
      </w:r>
      <w:r w:rsidR="000F0A84">
        <w:t>Cível da Comarca de São Luiz Gonzaga</w:t>
      </w:r>
      <w:r w:rsidR="00E52CCB" w:rsidRPr="00E52CCB">
        <w:t xml:space="preserve">, referente a </w:t>
      </w:r>
      <w:r w:rsidR="00797B3A" w:rsidRPr="00E52CCB">
        <w:t xml:space="preserve">Recurso Inominado </w:t>
      </w:r>
      <w:r w:rsidR="00797B3A">
        <w:t xml:space="preserve">Nº </w:t>
      </w:r>
      <w:r w:rsidR="00797B3A" w:rsidRPr="00797B3A">
        <w:t>71009007279</w:t>
      </w:r>
      <w:r w:rsidR="00797B3A">
        <w:t xml:space="preserve"> (Nº CN</w:t>
      </w:r>
      <w:r w:rsidR="00514A35">
        <w:t xml:space="preserve">J: </w:t>
      </w:r>
      <w:r w:rsidR="006508D4" w:rsidRPr="006508D4">
        <w:t>0070368-77.2019.8.21.9000</w:t>
      </w:r>
      <w:r w:rsidR="00797B3A">
        <w:t>):</w:t>
      </w:r>
    </w:p>
    <w:p w14:paraId="522932F3" w14:textId="5181080A" w:rsidR="003E3162" w:rsidRPr="00D40292" w:rsidRDefault="00D40292" w:rsidP="00D40292">
      <w:pPr>
        <w:ind w:left="708"/>
        <w:jc w:val="both"/>
        <w:rPr>
          <w:i/>
          <w:iCs/>
        </w:rPr>
      </w:pPr>
      <w:r w:rsidRPr="00D40292">
        <w:rPr>
          <w:i/>
          <w:iCs/>
        </w:rPr>
        <w:t xml:space="preserve">“Nesse sentido, importa esclarecer que a relação existente entre as partes é de convênio de instituição financeira que disponibiliza ao consumidor empréstimo de crédito consignado com associação de classe de servidores públicos estaduais, oferecendo melhores condições de empréstimo caso o consumidor se associe à entidade de classe. Destarte, o contrato sob análise não configura a venda casada vedada pelo art. 39, I, do CDC, pois não condiciona o fornecimento do serviço de empréstimo ao fornecimento do </w:t>
      </w:r>
      <w:r w:rsidRPr="00D40292">
        <w:rPr>
          <w:i/>
          <w:iCs/>
        </w:rPr>
        <w:lastRenderedPageBreak/>
        <w:t xml:space="preserve">serviço de associação, </w:t>
      </w:r>
      <w:r w:rsidRPr="00D40292">
        <w:rPr>
          <w:b/>
          <w:bCs/>
          <w:i/>
          <w:iCs/>
        </w:rPr>
        <w:t>tratando-se apenas de oferta de vantagens caso ocorra a associação</w:t>
      </w:r>
      <w:r w:rsidRPr="00D40292">
        <w:rPr>
          <w:i/>
          <w:iCs/>
        </w:rPr>
        <w:t>.”</w:t>
      </w:r>
      <w:r w:rsidRPr="00D40292">
        <w:t xml:space="preserve"> </w:t>
      </w:r>
      <w:r>
        <w:t>[grifo não constante no original]</w:t>
      </w:r>
    </w:p>
    <w:p w14:paraId="26AC47EF" w14:textId="77777777" w:rsidR="00A461E4" w:rsidRDefault="00BC59D9" w:rsidP="00F851E9">
      <w:pPr>
        <w:jc w:val="both"/>
      </w:pPr>
      <w:r>
        <w:t>Também, o</w:t>
      </w:r>
      <w:r w:rsidR="00D2304D">
        <w:t xml:space="preserve"> Tribunal de Justiça do Estado da Bahia</w:t>
      </w:r>
      <w:r w:rsidR="004B7FAA">
        <w:t xml:space="preserve"> (TJBA) possui grande acervo de jurisprudência </w:t>
      </w:r>
      <w:r>
        <w:t>não reconhecendo a venda casada para os casos similares</w:t>
      </w:r>
      <w:r w:rsidR="00A461E4">
        <w:t>:</w:t>
      </w:r>
    </w:p>
    <w:p w14:paraId="6C669141" w14:textId="68031BEF" w:rsidR="00501CAD" w:rsidRPr="00F25F82" w:rsidRDefault="00B87F7D" w:rsidP="00F25F82">
      <w:pPr>
        <w:ind w:left="708"/>
        <w:jc w:val="both"/>
      </w:pPr>
      <w:r w:rsidRPr="00B87F7D">
        <w:rPr>
          <w:i/>
          <w:iCs/>
        </w:rPr>
        <w:t>“</w:t>
      </w:r>
      <w:r w:rsidR="00501CAD" w:rsidRPr="00B87F7D">
        <w:rPr>
          <w:i/>
          <w:iCs/>
        </w:rPr>
        <w:t xml:space="preserve">Consumidor que pode contratar empréstimos no mercado, mas que opta por se associar à ré recorrente como forma de obter taxas melhores do que as ofertadas por outras instituições financeiras, </w:t>
      </w:r>
      <w:r w:rsidR="00501CAD" w:rsidRPr="00502766">
        <w:rPr>
          <w:b/>
          <w:bCs/>
          <w:i/>
          <w:iCs/>
        </w:rPr>
        <w:t>não podendo arguir vício no negócio que celebrou justamente para se beneficiar</w:t>
      </w:r>
      <w:r w:rsidR="00501CAD" w:rsidRPr="00B87F7D">
        <w:rPr>
          <w:i/>
          <w:iCs/>
        </w:rPr>
        <w:t>.</w:t>
      </w:r>
      <w:r w:rsidRPr="00B87F7D">
        <w:rPr>
          <w:i/>
          <w:iCs/>
        </w:rPr>
        <w:t>”</w:t>
      </w:r>
      <w:r w:rsidR="00F25F82" w:rsidRPr="00F25F82">
        <w:t xml:space="preserve"> </w:t>
      </w:r>
      <w:r w:rsidR="00F25F82">
        <w:t xml:space="preserve">[grifo não constante no original] - </w:t>
      </w:r>
      <w:r w:rsidR="00F25F82" w:rsidRPr="00E11805">
        <w:t xml:space="preserve">1ª Turma Recursal </w:t>
      </w:r>
      <w:r w:rsidR="00F25F82">
        <w:t>d</w:t>
      </w:r>
      <w:r w:rsidR="00F25F82" w:rsidRPr="00E11805">
        <w:t>os Juizados Especiais</w:t>
      </w:r>
      <w:r w:rsidR="00F25F82">
        <w:t xml:space="preserve"> Cíveis e Criminais</w:t>
      </w:r>
      <w:r w:rsidR="00F25F82" w:rsidRPr="00E52CCB">
        <w:t>, referente a Recurso Inominado</w:t>
      </w:r>
      <w:r w:rsidR="00F25F82">
        <w:t xml:space="preserve"> no processo </w:t>
      </w:r>
      <w:r w:rsidR="00F25F82" w:rsidRPr="00765330">
        <w:t>Nº 0065205-89.2022.8.05.0001</w:t>
      </w:r>
    </w:p>
    <w:p w14:paraId="15DDAB38" w14:textId="0F0028CD" w:rsidR="00F25F82" w:rsidRDefault="00B2481C" w:rsidP="00F25F82">
      <w:pPr>
        <w:ind w:left="708"/>
        <w:jc w:val="both"/>
      </w:pPr>
      <w:r w:rsidRPr="00B2481C">
        <w:rPr>
          <w:i/>
          <w:iCs/>
        </w:rPr>
        <w:t xml:space="preserve">“Nesse viés, não há abusividade na cobrança da taxa associativa a fim de concessão de empréstimo ao próprio associado, uma vez comprovada livre filiação do contratante, com especificação do valor da mensalidade associativa no momento da adesão, sendo demonstrado nos autos que </w:t>
      </w:r>
      <w:r w:rsidRPr="00502766">
        <w:rPr>
          <w:b/>
          <w:bCs/>
          <w:i/>
          <w:iCs/>
        </w:rPr>
        <w:t>tal adesão ocorreu justamente para que a promovente pudesse usufruir das vantagens conferidas unicamente aos associados</w:t>
      </w:r>
      <w:r w:rsidRPr="00B2481C">
        <w:rPr>
          <w:i/>
          <w:iCs/>
        </w:rPr>
        <w:t>.”</w:t>
      </w:r>
      <w:r w:rsidR="00F25F82" w:rsidRPr="00F25F82">
        <w:t xml:space="preserve"> </w:t>
      </w:r>
      <w:r w:rsidR="00F25F82">
        <w:t>[grifo não constante no original] - 2</w:t>
      </w:r>
      <w:r w:rsidR="00F25F82" w:rsidRPr="00E11805">
        <w:t xml:space="preserve">ª Turma Recursal </w:t>
      </w:r>
      <w:r w:rsidR="00F25F82">
        <w:t>d</w:t>
      </w:r>
      <w:r w:rsidR="00F25F82" w:rsidRPr="00E11805">
        <w:t>os Juizados Especiais</w:t>
      </w:r>
      <w:r w:rsidR="00F25F82" w:rsidRPr="004F4DB7">
        <w:t xml:space="preserve"> </w:t>
      </w:r>
      <w:r w:rsidR="00F25F82">
        <w:t>Cíveis e Criminais</w:t>
      </w:r>
      <w:r w:rsidR="00F25F82" w:rsidRPr="00E52CCB">
        <w:t>, referente a Recurso Inominado</w:t>
      </w:r>
      <w:r w:rsidR="00F25F82">
        <w:t xml:space="preserve"> no processo </w:t>
      </w:r>
      <w:r w:rsidR="00F25F82" w:rsidRPr="00765330">
        <w:t xml:space="preserve">Nº </w:t>
      </w:r>
      <w:r w:rsidR="00F25F82" w:rsidRPr="004F4DB7">
        <w:t>0024287-97.2022.8.05.0080</w:t>
      </w:r>
    </w:p>
    <w:p w14:paraId="2B6A2EFC" w14:textId="339EA54C" w:rsidR="002B75CC" w:rsidRPr="00F25F82" w:rsidRDefault="002B75CC" w:rsidP="00F25F82">
      <w:pPr>
        <w:ind w:left="708"/>
        <w:jc w:val="both"/>
      </w:pPr>
      <w:r>
        <w:rPr>
          <w:i/>
          <w:iCs/>
        </w:rPr>
        <w:t>“</w:t>
      </w:r>
      <w:r w:rsidRPr="002B75CC">
        <w:rPr>
          <w:i/>
          <w:iCs/>
        </w:rPr>
        <w:t xml:space="preserve">Assim, diante do acervo probatório, a conclusão é de que o Demandante optou por se filiar à associação Ré, </w:t>
      </w:r>
      <w:r w:rsidRPr="00502766">
        <w:rPr>
          <w:b/>
          <w:bCs/>
          <w:i/>
          <w:iCs/>
        </w:rPr>
        <w:t>a fim de utilizar os serviços disponibilizados por esta</w:t>
      </w:r>
      <w:r w:rsidRPr="002B75CC">
        <w:rPr>
          <w:i/>
          <w:iCs/>
        </w:rPr>
        <w:t>, e, do mesmo modo, realizou a contratação de empréstimos, sendo regulares as cobranças das mensalidades.</w:t>
      </w:r>
      <w:r>
        <w:rPr>
          <w:i/>
          <w:iCs/>
        </w:rPr>
        <w:t>”</w:t>
      </w:r>
      <w:r w:rsidR="00F25F82" w:rsidRPr="00F25F82">
        <w:t xml:space="preserve"> </w:t>
      </w:r>
      <w:r w:rsidR="00F25F82">
        <w:t>[grifo não constante no original] - 1</w:t>
      </w:r>
      <w:r w:rsidR="00F25F82" w:rsidRPr="00E11805">
        <w:t xml:space="preserve">ª Turma Recursal </w:t>
      </w:r>
      <w:r w:rsidR="00F25F82">
        <w:t>Cível e Criminal</w:t>
      </w:r>
      <w:r w:rsidR="00F25F82" w:rsidRPr="00E52CCB">
        <w:t>, referente a Recurso Inominado</w:t>
      </w:r>
      <w:r w:rsidR="00F25F82">
        <w:t xml:space="preserve"> no processo </w:t>
      </w:r>
      <w:r w:rsidR="00F25F82" w:rsidRPr="00765330">
        <w:t xml:space="preserve">Nº </w:t>
      </w:r>
      <w:r w:rsidR="00F25F82" w:rsidRPr="00610ABB">
        <w:t>0000295-10.2022.8.05.0080</w:t>
      </w:r>
    </w:p>
    <w:p w14:paraId="2ED2A621" w14:textId="1514D298" w:rsidR="00963D97" w:rsidRDefault="00F25F82" w:rsidP="00F25F82">
      <w:pPr>
        <w:ind w:left="708"/>
        <w:jc w:val="both"/>
      </w:pPr>
      <w:r>
        <w:rPr>
          <w:i/>
          <w:iCs/>
        </w:rPr>
        <w:t>“</w:t>
      </w:r>
      <w:r w:rsidR="00D0442F" w:rsidRPr="00D0442F">
        <w:rPr>
          <w:i/>
          <w:iCs/>
        </w:rPr>
        <w:t xml:space="preserve">Assim, a alegação de venda casada não condiz com a realizada dos fatos, já que as </w:t>
      </w:r>
      <w:r w:rsidR="00D0442F" w:rsidRPr="00502766">
        <w:rPr>
          <w:b/>
          <w:bCs/>
          <w:i/>
          <w:iCs/>
        </w:rPr>
        <w:t>condições diferenciadas obtidas no contrato de empréstimo somente foram possíveis em virtude do vínculo associativo</w:t>
      </w:r>
      <w:r w:rsidR="00D0442F" w:rsidRPr="00D0442F">
        <w:rPr>
          <w:i/>
          <w:iCs/>
        </w:rPr>
        <w:t xml:space="preserve">, em uma relação de custo-benefício que </w:t>
      </w:r>
      <w:r w:rsidR="00D0442F" w:rsidRPr="00502766">
        <w:rPr>
          <w:b/>
          <w:bCs/>
          <w:i/>
          <w:iCs/>
        </w:rPr>
        <w:t>não se mostrou excessivamente onerosa ou desleal</w:t>
      </w:r>
      <w:r w:rsidR="00D0442F" w:rsidRPr="00D0442F">
        <w:rPr>
          <w:i/>
          <w:iCs/>
        </w:rPr>
        <w:t>, sendo devida a contraprestação. Logo, nenhum obstáculo há no sentido da cobrança da taxa de associação.</w:t>
      </w:r>
      <w:r>
        <w:rPr>
          <w:i/>
          <w:iCs/>
        </w:rPr>
        <w:t>”</w:t>
      </w:r>
      <w:r w:rsidRPr="00F25F82">
        <w:t xml:space="preserve"> </w:t>
      </w:r>
      <w:r>
        <w:t>[grifo não constante no original] - 4</w:t>
      </w:r>
      <w:r w:rsidRPr="00E11805">
        <w:t xml:space="preserve">ª Turma Recursal </w:t>
      </w:r>
      <w:r>
        <w:t>- PROJUDI</w:t>
      </w:r>
      <w:r w:rsidRPr="00E52CCB">
        <w:t>, referente a Recurso Inominado</w:t>
      </w:r>
      <w:r>
        <w:t xml:space="preserve"> no processo </w:t>
      </w:r>
      <w:r w:rsidRPr="00765330">
        <w:t xml:space="preserve">Nº </w:t>
      </w:r>
      <w:r w:rsidRPr="005C3415">
        <w:t>0032088-78.2020.8.05.0001</w:t>
      </w:r>
    </w:p>
    <w:p w14:paraId="36533BC5" w14:textId="625AA930" w:rsidR="00F25F82" w:rsidRDefault="00F25F82" w:rsidP="00F25F82">
      <w:pPr>
        <w:jc w:val="both"/>
      </w:pPr>
      <w:r>
        <w:t>Ainda, a despeito</w:t>
      </w:r>
      <w:r w:rsidR="00BA2BAB">
        <w:t xml:space="preserve"> de</w:t>
      </w:r>
      <w:r>
        <w:t xml:space="preserve"> </w:t>
      </w:r>
      <w:r w:rsidR="007C5598">
        <w:t>o Art. 5º da Constituição Federal de 1988, em seu inciso XX</w:t>
      </w:r>
      <w:r w:rsidR="00BA2BAB">
        <w:t>, prever que “</w:t>
      </w:r>
      <w:r w:rsidR="00BA2BAB" w:rsidRPr="00BA2BAB">
        <w:t>ninguém poderá ser compelido a associar-se ou a permanecer associado</w:t>
      </w:r>
      <w:r w:rsidR="00BA2BAB">
        <w:t>”</w:t>
      </w:r>
      <w:r w:rsidR="00C2386F">
        <w:t>, o TJBA, considerando que o associado buscou a filiação sindical exatamente para obter melhores taxas de empréstimo consignado</w:t>
      </w:r>
      <w:r w:rsidR="008340C6">
        <w:t>, defendeu que é l</w:t>
      </w:r>
      <w:r w:rsidR="00CE5978">
        <w:t>í</w:t>
      </w:r>
      <w:r w:rsidR="008340C6">
        <w:t xml:space="preserve">cita a manutenção das mensalidades associativas enquanto perdurar o benefício </w:t>
      </w:r>
      <w:r w:rsidR="00CE5978">
        <w:t xml:space="preserve">obtido da taxa reduzida, conforme decisão </w:t>
      </w:r>
      <w:r w:rsidR="00F325C8">
        <w:t xml:space="preserve">da </w:t>
      </w:r>
      <w:r w:rsidR="00CE5978" w:rsidRPr="00CE5978">
        <w:t xml:space="preserve">4ª Turma Recursal - PROJUDI, referente a Recurso Inominado no processo </w:t>
      </w:r>
      <w:r w:rsidR="00F325C8" w:rsidRPr="00F325C8">
        <w:t xml:space="preserve"> 0005082-11.2022.8.05.0039</w:t>
      </w:r>
      <w:r w:rsidR="00F325C8">
        <w:t>:</w:t>
      </w:r>
    </w:p>
    <w:p w14:paraId="2AD27B82" w14:textId="130E0703" w:rsidR="00F325C8" w:rsidRDefault="00FD5819" w:rsidP="00FD5819">
      <w:pPr>
        <w:ind w:left="708"/>
        <w:jc w:val="both"/>
      </w:pPr>
      <w:r>
        <w:t xml:space="preserve">“Portanto, devida a cobrança da taxa de associação, </w:t>
      </w:r>
      <w:r w:rsidRPr="00FD5819">
        <w:rPr>
          <w:b/>
          <w:bCs/>
        </w:rPr>
        <w:t>enquanto a Autora aufere o benefício de pagar o empréstimo que contraiu em condições diferenciadas obtidas pela entidade</w:t>
      </w:r>
      <w:r>
        <w:t>.”</w:t>
      </w:r>
      <w:r w:rsidRPr="00FD5819">
        <w:t xml:space="preserve"> </w:t>
      </w:r>
      <w:r>
        <w:t>[grifo não constante no original]</w:t>
      </w:r>
    </w:p>
    <w:p w14:paraId="50896103" w14:textId="14A465D7" w:rsidR="00DA73EA" w:rsidRPr="00F25F82" w:rsidRDefault="00A314B4" w:rsidP="00DA73EA">
      <w:pPr>
        <w:jc w:val="both"/>
      </w:pPr>
      <w:r>
        <w:t xml:space="preserve">Em síntese, constata-se que o tema </w:t>
      </w:r>
      <w:r w:rsidR="00175B65">
        <w:t>se encontra</w:t>
      </w:r>
      <w:r>
        <w:t xml:space="preserve"> </w:t>
      </w:r>
      <w:r w:rsidR="00157011">
        <w:t xml:space="preserve">suficientemente pacificado pelo Poder Judiciário, não </w:t>
      </w:r>
      <w:r w:rsidR="000063D6">
        <w:t xml:space="preserve">se permitindo alegar a venda casada quando as contribuições de mensalidade associativa ocorrem </w:t>
      </w:r>
      <w:r w:rsidR="00C27A3E">
        <w:t>juntamente com taxa de empréstimo consignado mais vantajosa para o contratante.</w:t>
      </w:r>
    </w:p>
    <w:sectPr w:rsidR="00DA73EA" w:rsidRPr="00F25F8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06F1D" w14:textId="77777777" w:rsidR="00F83FDB" w:rsidRDefault="00F83FDB" w:rsidP="00923F3E">
      <w:pPr>
        <w:spacing w:after="0" w:line="240" w:lineRule="auto"/>
      </w:pPr>
      <w:r>
        <w:separator/>
      </w:r>
    </w:p>
  </w:endnote>
  <w:endnote w:type="continuationSeparator" w:id="0">
    <w:p w14:paraId="312B7E40" w14:textId="77777777" w:rsidR="00F83FDB" w:rsidRDefault="00F83FDB" w:rsidP="00923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EB456" w14:textId="77777777" w:rsidR="00F83FDB" w:rsidRDefault="00F83FDB" w:rsidP="00923F3E">
      <w:pPr>
        <w:spacing w:after="0" w:line="240" w:lineRule="auto"/>
      </w:pPr>
      <w:r>
        <w:separator/>
      </w:r>
    </w:p>
  </w:footnote>
  <w:footnote w:type="continuationSeparator" w:id="0">
    <w:p w14:paraId="18C04635" w14:textId="77777777" w:rsidR="00F83FDB" w:rsidRDefault="00F83FDB" w:rsidP="00923F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05"/>
    <w:rsid w:val="000031B7"/>
    <w:rsid w:val="000063D6"/>
    <w:rsid w:val="00027711"/>
    <w:rsid w:val="000346E8"/>
    <w:rsid w:val="000D5F89"/>
    <w:rsid w:val="000E4DB5"/>
    <w:rsid w:val="000E5A87"/>
    <w:rsid w:val="000F0A84"/>
    <w:rsid w:val="00132B8A"/>
    <w:rsid w:val="00155EA9"/>
    <w:rsid w:val="00157011"/>
    <w:rsid w:val="00171159"/>
    <w:rsid w:val="00175B65"/>
    <w:rsid w:val="00176FD1"/>
    <w:rsid w:val="0018030B"/>
    <w:rsid w:val="001964E7"/>
    <w:rsid w:val="001A12C1"/>
    <w:rsid w:val="00214F6B"/>
    <w:rsid w:val="002843C9"/>
    <w:rsid w:val="002A358C"/>
    <w:rsid w:val="002B75CC"/>
    <w:rsid w:val="002E2684"/>
    <w:rsid w:val="002E2B17"/>
    <w:rsid w:val="00312CCE"/>
    <w:rsid w:val="003374BE"/>
    <w:rsid w:val="00337E57"/>
    <w:rsid w:val="00377529"/>
    <w:rsid w:val="003E0817"/>
    <w:rsid w:val="003E0C77"/>
    <w:rsid w:val="003E3162"/>
    <w:rsid w:val="00406CD5"/>
    <w:rsid w:val="00434FCF"/>
    <w:rsid w:val="00441102"/>
    <w:rsid w:val="00484162"/>
    <w:rsid w:val="004B7FAA"/>
    <w:rsid w:val="004C2ABA"/>
    <w:rsid w:val="004F4DB7"/>
    <w:rsid w:val="00501CAD"/>
    <w:rsid w:val="00502766"/>
    <w:rsid w:val="00514A35"/>
    <w:rsid w:val="00560466"/>
    <w:rsid w:val="005A4E48"/>
    <w:rsid w:val="005C3415"/>
    <w:rsid w:val="005D1AB7"/>
    <w:rsid w:val="00607EE6"/>
    <w:rsid w:val="00610ABB"/>
    <w:rsid w:val="006508D4"/>
    <w:rsid w:val="006776EA"/>
    <w:rsid w:val="006B4803"/>
    <w:rsid w:val="006D475E"/>
    <w:rsid w:val="006E7606"/>
    <w:rsid w:val="00710758"/>
    <w:rsid w:val="00763ED4"/>
    <w:rsid w:val="00765330"/>
    <w:rsid w:val="00797B3A"/>
    <w:rsid w:val="007B68E7"/>
    <w:rsid w:val="007C5598"/>
    <w:rsid w:val="008340C6"/>
    <w:rsid w:val="00841BDF"/>
    <w:rsid w:val="00891233"/>
    <w:rsid w:val="00923F3E"/>
    <w:rsid w:val="00924728"/>
    <w:rsid w:val="00963D97"/>
    <w:rsid w:val="009D52D8"/>
    <w:rsid w:val="00A012ED"/>
    <w:rsid w:val="00A04EDE"/>
    <w:rsid w:val="00A314B4"/>
    <w:rsid w:val="00A4270A"/>
    <w:rsid w:val="00A461E4"/>
    <w:rsid w:val="00AD0405"/>
    <w:rsid w:val="00AD272B"/>
    <w:rsid w:val="00AF2EA8"/>
    <w:rsid w:val="00AF6706"/>
    <w:rsid w:val="00B2481C"/>
    <w:rsid w:val="00B60862"/>
    <w:rsid w:val="00B87F7D"/>
    <w:rsid w:val="00BA2BAB"/>
    <w:rsid w:val="00BB6B9B"/>
    <w:rsid w:val="00BC03A5"/>
    <w:rsid w:val="00BC59D9"/>
    <w:rsid w:val="00BD7CDD"/>
    <w:rsid w:val="00C2386F"/>
    <w:rsid w:val="00C26330"/>
    <w:rsid w:val="00C27A3E"/>
    <w:rsid w:val="00C35019"/>
    <w:rsid w:val="00C907A8"/>
    <w:rsid w:val="00C94969"/>
    <w:rsid w:val="00CD5BE6"/>
    <w:rsid w:val="00CE5978"/>
    <w:rsid w:val="00CF4498"/>
    <w:rsid w:val="00D0442F"/>
    <w:rsid w:val="00D2304D"/>
    <w:rsid w:val="00D25443"/>
    <w:rsid w:val="00D40292"/>
    <w:rsid w:val="00D44646"/>
    <w:rsid w:val="00D513D4"/>
    <w:rsid w:val="00DA73EA"/>
    <w:rsid w:val="00DB7CE3"/>
    <w:rsid w:val="00DD068C"/>
    <w:rsid w:val="00E0156E"/>
    <w:rsid w:val="00E043ED"/>
    <w:rsid w:val="00E11805"/>
    <w:rsid w:val="00E44C9C"/>
    <w:rsid w:val="00E52CCB"/>
    <w:rsid w:val="00F01738"/>
    <w:rsid w:val="00F25F82"/>
    <w:rsid w:val="00F325C8"/>
    <w:rsid w:val="00F63D78"/>
    <w:rsid w:val="00F83FDB"/>
    <w:rsid w:val="00F851E9"/>
    <w:rsid w:val="00F87215"/>
    <w:rsid w:val="00FD5819"/>
    <w:rsid w:val="00FE5BC7"/>
    <w:rsid w:val="00FF7F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10BED"/>
  <w15:chartTrackingRefBased/>
  <w15:docId w15:val="{C8F6E966-A7EA-4DAE-B4DB-6AAF8CEA8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337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uiPriority w:val="35"/>
    <w:unhideWhenUsed/>
    <w:qFormat/>
    <w:rsid w:val="00D513D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12902">
      <w:bodyDiv w:val="1"/>
      <w:marLeft w:val="0"/>
      <w:marRight w:val="0"/>
      <w:marTop w:val="0"/>
      <w:marBottom w:val="0"/>
      <w:divBdr>
        <w:top w:val="none" w:sz="0" w:space="0" w:color="auto"/>
        <w:left w:val="none" w:sz="0" w:space="0" w:color="auto"/>
        <w:bottom w:val="none" w:sz="0" w:space="0" w:color="auto"/>
        <w:right w:val="none" w:sz="0" w:space="0" w:color="auto"/>
      </w:divBdr>
    </w:div>
    <w:div w:id="52895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F78C11874FC1E459972AD9F775A86DA" ma:contentTypeVersion="0" ma:contentTypeDescription="Crie um novo documento." ma:contentTypeScope="" ma:versionID="9d5b71393a9e85b7487b86713cce356c">
  <xsd:schema xmlns:xsd="http://www.w3.org/2001/XMLSchema" xmlns:xs="http://www.w3.org/2001/XMLSchema" xmlns:p="http://schemas.microsoft.com/office/2006/metadata/properties" targetNamespace="http://schemas.microsoft.com/office/2006/metadata/properties" ma:root="true" ma:fieldsID="e257547f92819c86ae4143fe76bb6c5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569AAB-8DB2-4F7F-8573-A4F1E1DD3917}">
  <ds:schemaRefs>
    <ds:schemaRef ds:uri="http://schemas.microsoft.com/sharepoint/v3/contenttype/forms"/>
  </ds:schemaRefs>
</ds:datastoreItem>
</file>

<file path=customXml/itemProps2.xml><?xml version="1.0" encoding="utf-8"?>
<ds:datastoreItem xmlns:ds="http://schemas.openxmlformats.org/officeDocument/2006/customXml" ds:itemID="{5381297C-C30A-4F76-AB4A-0778660EC477}"/>
</file>

<file path=customXml/itemProps3.xml><?xml version="1.0" encoding="utf-8"?>
<ds:datastoreItem xmlns:ds="http://schemas.openxmlformats.org/officeDocument/2006/customXml" ds:itemID="{C3BC0A88-B9DD-48D5-A8B1-9BE1DE10DB40}"/>
</file>

<file path=docProps/app.xml><?xml version="1.0" encoding="utf-8"?>
<Properties xmlns="http://schemas.openxmlformats.org/officeDocument/2006/extended-properties" xmlns:vt="http://schemas.openxmlformats.org/officeDocument/2006/docPropsVTypes">
  <Template>Normal</Template>
  <TotalTime>126</TotalTime>
  <Pages>2</Pages>
  <Words>1030</Words>
  <Characters>5566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Vinícius Gonçalves Nihari</dc:creator>
  <cp:keywords/>
  <dc:description/>
  <cp:lastModifiedBy>Pietro de Oliveira Costa</cp:lastModifiedBy>
  <cp:revision>81</cp:revision>
  <dcterms:created xsi:type="dcterms:W3CDTF">2023-12-27T18:26:00Z</dcterms:created>
  <dcterms:modified xsi:type="dcterms:W3CDTF">2024-01-26T18:28:00Z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0x0101000F78C11874FC1E459972AD9F775A86DA</vt:lpwstr>
  </property>
</Properties>
</file>